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76A7" w:rsidP="171863E2" w:rsidRDefault="002976A7" w14:paraId="2C078E63" w14:textId="392E7428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</w:pP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 xml:space="preserve">The global beauty industry stands as 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>an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 xml:space="preserve"> economic paradox and a cultural powerhouse. Valued at over 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>$440 billion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 xml:space="preserve">, it has consistently 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>demonstrated</w:t>
      </w:r>
      <w:r w:rsidRPr="171863E2" w:rsidR="70C664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  <w:t xml:space="preserve"> resilience against economic downturns, evolving from a simple purveyor of vanity into a complex system intersecting with biotechnology, digital culture, and multinational finance. However, the engine of this growth has fundamentally changed. The traditional model of selling hope in a bottle has been replaced by a hyper-efficient, data-driven machine powered by two dominant forces: social media and global capital.</w:t>
      </w:r>
      <w:r>
        <w:br/>
      </w:r>
    </w:p>
    <w:p w:rsidR="171863E2" w:rsidP="171863E2" w:rsidRDefault="171863E2" w14:paraId="6BCB41CA" w14:textId="5AD9E646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D3CFC9"/>
          <w:sz w:val="24"/>
          <w:szCs w:val="24"/>
          <w:lang w:val="en-US"/>
        </w:rPr>
      </w:pPr>
    </w:p>
    <w:sectPr w:rsidR="002976A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0DA1264"/>
    <w:rsid w:val="002976A7"/>
    <w:rsid w:val="00EC49BA"/>
    <w:rsid w:val="171863E2"/>
    <w:rsid w:val="338DA054"/>
    <w:rsid w:val="40DA1264"/>
    <w:rsid w:val="70C66480"/>
    <w:rsid w:val="74E5A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A1264"/>
  <w15:chartTrackingRefBased/>
  <w15:docId w15:val="{E08C9CE1-25F9-4437-9C9F-5754D7C3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2026-02-13T17:56:00.0000000Z</dcterms:created>
  <dcterms:modified xsi:type="dcterms:W3CDTF">2026-02-13T17:58:04.7442469Z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2026-02-13T17:56:44Z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71d9b8d2-b72b-43f8-8ed5-9bb0fb322f80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